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hint="eastAsia" w:ascii="Times New Roman" w:hAnsi="Times New Roman" w:eastAsia="仿宋_GB2312"/>
              </w:rPr>
              <w:t>骊能新能源科技（北京）有限公司</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sz w:val="18"/>
                <w:szCs w:val="18"/>
              </w:rPr>
            </w:pPr>
            <w:r>
              <w:rPr>
                <w:rFonts w:hint="eastAsia" w:ascii="Times New Roman" w:hAnsi="Times New Roman" w:eastAsia="仿宋_GB2312"/>
              </w:rPr>
              <w:t>北京市大兴区黄村镇丰达街5号院</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ascii="Times New Roman" w:hAnsi="Times New Roman"/>
                <w:sz w:val="24"/>
                <w:szCs w:val="24"/>
                <w:lang w:eastAsia="zh-CN"/>
              </w:rPr>
              <w:t>许</w:t>
            </w:r>
            <w:r>
              <w:rPr>
                <w:rFonts w:hint="eastAsia"/>
                <w:szCs w:val="52"/>
                <w:lang w:eastAsia="zh-CN"/>
              </w:rPr>
              <w:t>工</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r>
              <w:rPr>
                <w:rFonts w:hint="eastAsia" w:ascii="Times New Roman" w:hAnsi="Times New Roman" w:eastAsia="仿宋_GB2312"/>
              </w:rPr>
              <w:t>骊能新能源科技（北京）有限公司碳纸扩散层（GDL）研发制造项目一期</w:t>
            </w:r>
            <w:r>
              <w:rPr>
                <w:rFonts w:hint="eastAsia"/>
                <w:szCs w:val="52"/>
                <w:lang w:eastAsia="zh-CN"/>
              </w:rPr>
              <w:t>职业病危害预评价</w:t>
            </w:r>
            <w:r>
              <w:rPr>
                <w:rFonts w:hint="eastAsia"/>
                <w:szCs w:val="52"/>
                <w:lang w:val="en-US" w:eastAsia="zh-CN"/>
              </w:rPr>
              <w:t xml:space="preserve"> 022025016-1YP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张锁雷、姜宏翰、郝伯昭、周濬伊</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953D4F5">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16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682C7645">
            <w:pPr>
              <w:pStyle w:val="72"/>
              <w:kinsoku w:val="0"/>
              <w:overflowPunct w:val="0"/>
              <w:rPr>
                <w:rFonts w:hint="eastAsia" w:eastAsia="仿宋_GB2312"/>
                <w:sz w:val="18"/>
                <w:szCs w:val="18"/>
                <w:lang w:val="en-US" w:eastAsia="zh-CN"/>
              </w:rPr>
            </w:pPr>
          </w:p>
        </w:tc>
      </w:tr>
    </w:tbl>
    <w:p w14:paraId="01B32CD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022025016-1YP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6E86713"/>
    <w:rsid w:val="14A24893"/>
    <w:rsid w:val="1D592D5C"/>
    <w:rsid w:val="2B3D61C3"/>
    <w:rsid w:val="3171012C"/>
    <w:rsid w:val="68306A51"/>
    <w:rsid w:val="683179F8"/>
    <w:rsid w:val="70B4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247</Characters>
  <Lines>1</Lines>
  <Paragraphs>1</Paragraphs>
  <TotalTime>0</TotalTime>
  <ScaleCrop>false</ScaleCrop>
  <LinksUpToDate>false</LinksUpToDate>
  <CharactersWithSpaces>248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月亮</cp:lastModifiedBy>
  <dcterms:modified xsi:type="dcterms:W3CDTF">2025-07-31T00:32:07Z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eyJoZGlkIjoiNTAxZmVhYTNjZGUzODY2ZjJmMDQwMDYzYTNiYjA5N2YiLCJ1c2VySWQiOiI3MTkyOTA3NjAifQ==</vt:lpwstr>
  </property>
  <property fmtid="{D5CDD505-2E9C-101B-9397-08002B2CF9AE}" pid="4" name="ICV">
    <vt:lpwstr>B6708BFECFD04FC5A1DED8F3584C12C0_12</vt:lpwstr>
  </property>
</Properties>
</file>